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AB" w:rsidRDefault="004B17AB" w:rsidP="004B17AB">
      <w:pPr>
        <w:rPr>
          <w:b/>
        </w:rPr>
      </w:pPr>
      <w:r w:rsidRPr="002B1842">
        <w:rPr>
          <w:b/>
          <w:sz w:val="28"/>
          <w:szCs w:val="28"/>
        </w:rPr>
        <w:t xml:space="preserve">Programma </w:t>
      </w:r>
      <w:r>
        <w:rPr>
          <w:b/>
          <w:sz w:val="28"/>
          <w:szCs w:val="28"/>
        </w:rPr>
        <w:t xml:space="preserve">: </w:t>
      </w:r>
      <w:r>
        <w:rPr>
          <w:b/>
        </w:rPr>
        <w:t xml:space="preserve"> </w:t>
      </w:r>
    </w:p>
    <w:p w:rsidR="004B17AB" w:rsidRDefault="004B17AB" w:rsidP="004B17AB">
      <w:pPr>
        <w:rPr>
          <w:b/>
        </w:rPr>
      </w:pPr>
      <w:r>
        <w:rPr>
          <w:b/>
        </w:rPr>
        <w:t xml:space="preserve">Datum:  27 september </w:t>
      </w:r>
      <w:r>
        <w:rPr>
          <w:b/>
        </w:rPr>
        <w:tab/>
        <w:t>2018</w:t>
      </w:r>
    </w:p>
    <w:p w:rsidR="004B17AB" w:rsidRDefault="004B17AB" w:rsidP="004B17AB">
      <w:pPr>
        <w:rPr>
          <w:b/>
        </w:rPr>
      </w:pPr>
      <w:r>
        <w:rPr>
          <w:b/>
        </w:rPr>
        <w:t>Locatie:  Het Klooster te Zwolle</w:t>
      </w:r>
    </w:p>
    <w:p w:rsidR="004B17AB" w:rsidRDefault="004B17AB" w:rsidP="004B17AB">
      <w:pPr>
        <w:rPr>
          <w:b/>
        </w:rPr>
      </w:pPr>
    </w:p>
    <w:p w:rsidR="004B17AB" w:rsidRDefault="004B17AB" w:rsidP="004B17AB">
      <w:pPr>
        <w:rPr>
          <w:b/>
        </w:rPr>
      </w:pPr>
      <w:r>
        <w:rPr>
          <w:b/>
        </w:rPr>
        <w:t xml:space="preserve">Inhoud programma: </w:t>
      </w:r>
    </w:p>
    <w:p w:rsidR="004B17AB" w:rsidRDefault="004B17AB" w:rsidP="004B17AB">
      <w:pPr>
        <w:rPr>
          <w:b/>
        </w:rPr>
      </w:pPr>
    </w:p>
    <w:p w:rsidR="004B17AB" w:rsidRPr="00C10D58" w:rsidRDefault="004B17AB" w:rsidP="004B17A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029"/>
        <w:gridCol w:w="2110"/>
        <w:gridCol w:w="2068"/>
      </w:tblGrid>
      <w:tr w:rsidR="004B17AB" w:rsidRPr="00704F2D" w:rsidTr="00533FB4">
        <w:tc>
          <w:tcPr>
            <w:tcW w:w="3191" w:type="dxa"/>
            <w:shd w:val="clear" w:color="auto" w:fill="auto"/>
          </w:tcPr>
          <w:p w:rsidR="004B17AB" w:rsidRPr="00532444" w:rsidRDefault="004B17AB" w:rsidP="00533FB4">
            <w:pPr>
              <w:rPr>
                <w:b/>
              </w:rPr>
            </w:pPr>
            <w:r w:rsidRPr="00532444">
              <w:rPr>
                <w:b/>
              </w:rPr>
              <w:t>activiteit</w:t>
            </w:r>
          </w:p>
        </w:tc>
        <w:tc>
          <w:tcPr>
            <w:tcW w:w="1069" w:type="dxa"/>
            <w:shd w:val="clear" w:color="auto" w:fill="auto"/>
          </w:tcPr>
          <w:p w:rsidR="004B17AB" w:rsidRPr="00532444" w:rsidRDefault="004B17AB" w:rsidP="00533FB4">
            <w:pPr>
              <w:rPr>
                <w:b/>
              </w:rPr>
            </w:pPr>
            <w:r w:rsidRPr="00532444">
              <w:rPr>
                <w:b/>
              </w:rPr>
              <w:t>tijd</w:t>
            </w:r>
          </w:p>
        </w:tc>
        <w:tc>
          <w:tcPr>
            <w:tcW w:w="1950" w:type="dxa"/>
            <w:shd w:val="clear" w:color="auto" w:fill="auto"/>
          </w:tcPr>
          <w:p w:rsidR="004B17AB" w:rsidRPr="00532444" w:rsidRDefault="004B17AB" w:rsidP="00533FB4">
            <w:pPr>
              <w:rPr>
                <w:b/>
              </w:rPr>
            </w:pPr>
            <w:r w:rsidRPr="00532444">
              <w:rPr>
                <w:b/>
              </w:rPr>
              <w:t>Inhoud</w:t>
            </w:r>
          </w:p>
        </w:tc>
        <w:tc>
          <w:tcPr>
            <w:tcW w:w="2073" w:type="dxa"/>
            <w:shd w:val="clear" w:color="auto" w:fill="auto"/>
          </w:tcPr>
          <w:p w:rsidR="004B17AB" w:rsidRPr="00532444" w:rsidRDefault="004B17AB" w:rsidP="00533FB4">
            <w:pPr>
              <w:rPr>
                <w:b/>
              </w:rPr>
            </w:pPr>
            <w:r w:rsidRPr="00532444">
              <w:rPr>
                <w:b/>
              </w:rPr>
              <w:t>Spreker/uitvoerder</w:t>
            </w:r>
          </w:p>
        </w:tc>
      </w:tr>
      <w:tr w:rsidR="004B17AB" w:rsidRPr="00704F2D" w:rsidTr="00533FB4">
        <w:tc>
          <w:tcPr>
            <w:tcW w:w="3191" w:type="dxa"/>
            <w:shd w:val="clear" w:color="auto" w:fill="auto"/>
          </w:tcPr>
          <w:p w:rsidR="004B17AB" w:rsidRPr="00704F2D" w:rsidRDefault="004B17AB" w:rsidP="00533FB4">
            <w:r w:rsidRPr="00704F2D">
              <w:t>Aanvang</w:t>
            </w:r>
            <w:r>
              <w:t>/ontvangst</w:t>
            </w:r>
          </w:p>
        </w:tc>
        <w:tc>
          <w:tcPr>
            <w:tcW w:w="1069" w:type="dxa"/>
            <w:shd w:val="clear" w:color="auto" w:fill="auto"/>
          </w:tcPr>
          <w:p w:rsidR="004B17AB" w:rsidRPr="00704F2D" w:rsidRDefault="004B17AB" w:rsidP="00533FB4">
            <w:r>
              <w:t>17.00</w:t>
            </w:r>
          </w:p>
        </w:tc>
        <w:tc>
          <w:tcPr>
            <w:tcW w:w="1950" w:type="dxa"/>
            <w:shd w:val="clear" w:color="auto" w:fill="auto"/>
          </w:tcPr>
          <w:p w:rsidR="004B17AB" w:rsidRPr="00704F2D" w:rsidRDefault="004B17AB" w:rsidP="00533FB4">
            <w:r w:rsidRPr="00704F2D">
              <w:t>Inschrijving</w:t>
            </w:r>
          </w:p>
          <w:p w:rsidR="004B17AB" w:rsidRPr="00704F2D" w:rsidRDefault="004B17AB" w:rsidP="00533FB4">
            <w:r>
              <w:t>Broodmaaltijd</w:t>
            </w:r>
          </w:p>
        </w:tc>
        <w:tc>
          <w:tcPr>
            <w:tcW w:w="2073" w:type="dxa"/>
            <w:shd w:val="clear" w:color="auto" w:fill="auto"/>
          </w:tcPr>
          <w:p w:rsidR="004B17AB" w:rsidRPr="00704F2D" w:rsidRDefault="004B17AB" w:rsidP="00533FB4">
            <w:pPr>
              <w:ind w:left="720"/>
            </w:pPr>
          </w:p>
        </w:tc>
      </w:tr>
      <w:tr w:rsidR="004B17AB" w:rsidRPr="00704F2D" w:rsidTr="00533FB4">
        <w:tc>
          <w:tcPr>
            <w:tcW w:w="3191" w:type="dxa"/>
            <w:shd w:val="clear" w:color="auto" w:fill="auto"/>
          </w:tcPr>
          <w:p w:rsidR="004B17AB" w:rsidRPr="00704F2D" w:rsidRDefault="004B17AB" w:rsidP="00533FB4">
            <w:r>
              <w:t>O</w:t>
            </w:r>
            <w:r w:rsidRPr="00704F2D">
              <w:t>pening</w:t>
            </w:r>
          </w:p>
        </w:tc>
        <w:tc>
          <w:tcPr>
            <w:tcW w:w="1069" w:type="dxa"/>
            <w:shd w:val="clear" w:color="auto" w:fill="auto"/>
          </w:tcPr>
          <w:p w:rsidR="004B17AB" w:rsidRPr="00704F2D" w:rsidRDefault="004B17AB" w:rsidP="00533FB4">
            <w:r>
              <w:t>17.30</w:t>
            </w:r>
          </w:p>
        </w:tc>
        <w:tc>
          <w:tcPr>
            <w:tcW w:w="1950" w:type="dxa"/>
            <w:shd w:val="clear" w:color="auto" w:fill="auto"/>
          </w:tcPr>
          <w:p w:rsidR="004B17AB" w:rsidRPr="00704F2D" w:rsidRDefault="004B17AB" w:rsidP="00533FB4">
            <w:r w:rsidRPr="00704F2D">
              <w:t>Welkom en toelichting bijeenkomst</w:t>
            </w:r>
          </w:p>
        </w:tc>
        <w:tc>
          <w:tcPr>
            <w:tcW w:w="2073" w:type="dxa"/>
            <w:shd w:val="clear" w:color="auto" w:fill="auto"/>
          </w:tcPr>
          <w:p w:rsidR="004B17AB" w:rsidRPr="00704F2D" w:rsidRDefault="004B17AB" w:rsidP="00533FB4">
            <w:r>
              <w:t>K. Broek</w:t>
            </w:r>
          </w:p>
        </w:tc>
      </w:tr>
      <w:tr w:rsidR="004B17AB" w:rsidRPr="00D73AF8" w:rsidTr="00533FB4">
        <w:tc>
          <w:tcPr>
            <w:tcW w:w="3191" w:type="dxa"/>
            <w:shd w:val="clear" w:color="auto" w:fill="auto"/>
          </w:tcPr>
          <w:p w:rsidR="004B17AB" w:rsidRPr="008914EB" w:rsidRDefault="004B17AB" w:rsidP="00533FB4">
            <w:r w:rsidRPr="008914EB">
              <w:t>1</w:t>
            </w:r>
            <w:r w:rsidRPr="008914EB">
              <w:rPr>
                <w:vertAlign w:val="superscript"/>
              </w:rPr>
              <w:t>e</w:t>
            </w:r>
            <w:r w:rsidRPr="008914EB">
              <w:t xml:space="preserve"> programmaonderdeel:</w:t>
            </w:r>
          </w:p>
          <w:p w:rsidR="004B17AB" w:rsidRPr="00D73AF8" w:rsidRDefault="004B17AB" w:rsidP="00533FB4">
            <w:pPr>
              <w:rPr>
                <w:b/>
              </w:rPr>
            </w:pPr>
          </w:p>
        </w:tc>
        <w:tc>
          <w:tcPr>
            <w:tcW w:w="1069" w:type="dxa"/>
            <w:shd w:val="clear" w:color="auto" w:fill="auto"/>
          </w:tcPr>
          <w:p w:rsidR="004B17AB" w:rsidRPr="00D73AF8" w:rsidRDefault="004B17AB" w:rsidP="00533FB4">
            <w:pPr>
              <w:rPr>
                <w:b/>
              </w:rPr>
            </w:pPr>
            <w:r w:rsidRPr="00D73AF8">
              <w:rPr>
                <w:b/>
              </w:rPr>
              <w:t>17.45</w:t>
            </w:r>
          </w:p>
        </w:tc>
        <w:tc>
          <w:tcPr>
            <w:tcW w:w="1950" w:type="dxa"/>
            <w:shd w:val="clear" w:color="auto" w:fill="auto"/>
          </w:tcPr>
          <w:p w:rsidR="004B17AB" w:rsidRPr="00D73AF8" w:rsidRDefault="004B17AB" w:rsidP="00533FB4">
            <w:pPr>
              <w:rPr>
                <w:b/>
              </w:rPr>
            </w:pPr>
            <w:r w:rsidRPr="00DF1095">
              <w:t xml:space="preserve">In </w:t>
            </w:r>
            <w:r>
              <w:t>eerste onderdeel</w:t>
            </w:r>
            <w:r w:rsidRPr="00DF1095">
              <w:t xml:space="preserve"> </w:t>
            </w:r>
            <w:r>
              <w:t>wordt aandacht besteed aan het belang van het kennen en integreren van de principes van het Risk Need Responsivity (RNR) model in Pro Justitia rapportage. Het RNR model zal worden toegelicht, waarbij tevens aandacht uit zal gaan naar problemen en dilemma’s die zich voordoen bij het integreren van de principes in de (klinische) praktijk of bij het opstellen van PJ-rapportages..</w:t>
            </w:r>
          </w:p>
        </w:tc>
        <w:tc>
          <w:tcPr>
            <w:tcW w:w="2073" w:type="dxa"/>
            <w:shd w:val="clear" w:color="auto" w:fill="auto"/>
          </w:tcPr>
          <w:p w:rsidR="004B17AB" w:rsidRPr="008914EB" w:rsidRDefault="004B17AB" w:rsidP="00533FB4">
            <w:r>
              <w:t>E. van den Broek</w:t>
            </w:r>
          </w:p>
        </w:tc>
      </w:tr>
      <w:tr w:rsidR="004B17AB" w:rsidRPr="00704F2D" w:rsidTr="00533FB4">
        <w:tc>
          <w:tcPr>
            <w:tcW w:w="3191" w:type="dxa"/>
            <w:shd w:val="clear" w:color="auto" w:fill="auto"/>
          </w:tcPr>
          <w:p w:rsidR="004B17AB" w:rsidRPr="00704F2D" w:rsidRDefault="004B17AB" w:rsidP="00533FB4">
            <w:r w:rsidRPr="00704F2D">
              <w:t>Lunch</w:t>
            </w:r>
            <w:r>
              <w:t>/broodjes</w:t>
            </w:r>
            <w:r w:rsidRPr="00704F2D">
              <w:t>pauze</w:t>
            </w:r>
          </w:p>
        </w:tc>
        <w:tc>
          <w:tcPr>
            <w:tcW w:w="1069" w:type="dxa"/>
            <w:shd w:val="clear" w:color="auto" w:fill="auto"/>
          </w:tcPr>
          <w:p w:rsidR="004B17AB" w:rsidRPr="00704F2D" w:rsidRDefault="004B17AB" w:rsidP="00533FB4">
            <w:r>
              <w:t>18.30</w:t>
            </w:r>
          </w:p>
        </w:tc>
        <w:tc>
          <w:tcPr>
            <w:tcW w:w="1950" w:type="dxa"/>
            <w:shd w:val="clear" w:color="auto" w:fill="auto"/>
          </w:tcPr>
          <w:p w:rsidR="004B17AB" w:rsidRPr="00704F2D" w:rsidRDefault="004B17AB" w:rsidP="00533FB4">
            <w:r>
              <w:t>Koffie/thee pauze</w:t>
            </w:r>
          </w:p>
        </w:tc>
        <w:tc>
          <w:tcPr>
            <w:tcW w:w="2073" w:type="dxa"/>
            <w:shd w:val="clear" w:color="auto" w:fill="auto"/>
          </w:tcPr>
          <w:p w:rsidR="004B17AB" w:rsidRPr="00704F2D" w:rsidRDefault="004B17AB" w:rsidP="00533FB4"/>
        </w:tc>
      </w:tr>
      <w:tr w:rsidR="004B17AB" w:rsidRPr="00704F2D" w:rsidTr="00533FB4">
        <w:tc>
          <w:tcPr>
            <w:tcW w:w="3191" w:type="dxa"/>
            <w:shd w:val="clear" w:color="auto" w:fill="auto"/>
          </w:tcPr>
          <w:p w:rsidR="004B17AB" w:rsidRDefault="004B17AB" w:rsidP="00533FB4">
            <w:r>
              <w:t>Vervolg programma:</w:t>
            </w:r>
          </w:p>
          <w:p w:rsidR="004B17AB" w:rsidRDefault="004B17AB" w:rsidP="00533FB4"/>
          <w:p w:rsidR="004B17AB" w:rsidRPr="00704F2D" w:rsidRDefault="004B17AB" w:rsidP="00533FB4"/>
        </w:tc>
        <w:tc>
          <w:tcPr>
            <w:tcW w:w="1069" w:type="dxa"/>
            <w:shd w:val="clear" w:color="auto" w:fill="auto"/>
          </w:tcPr>
          <w:p w:rsidR="004B17AB" w:rsidRPr="00704F2D" w:rsidRDefault="004B17AB" w:rsidP="00533FB4">
            <w:r>
              <w:t>18.45</w:t>
            </w:r>
          </w:p>
        </w:tc>
        <w:tc>
          <w:tcPr>
            <w:tcW w:w="1950" w:type="dxa"/>
            <w:shd w:val="clear" w:color="auto" w:fill="auto"/>
          </w:tcPr>
          <w:p w:rsidR="004B17AB" w:rsidRPr="00704F2D" w:rsidRDefault="004B17AB" w:rsidP="00533FB4">
            <w:r>
              <w:t xml:space="preserve">In het tweede deel  zullen </w:t>
            </w:r>
            <w:r w:rsidRPr="00DF1095">
              <w:t xml:space="preserve">recente ontwikkelingen op het gebied van risicotaxatie in het </w:t>
            </w:r>
            <w:r w:rsidRPr="00DF1095">
              <w:lastRenderedPageBreak/>
              <w:t xml:space="preserve">forensische werkveld worden besproken. </w:t>
            </w:r>
            <w:r>
              <w:t>Hierbij zal met name aandacht zijn voor de wijze waarop – middels risicotaxatie – geweldsrisico’s beter begrepen en beschreven kunnen worden, met als uiteindelijk doel het bieden van richtlijnen voor het voorkomen van recidive. Voornoemde wordt toegelicht aan de hand van de methodiek van de HCR-</w:t>
            </w:r>
            <w:r w:rsidRPr="004A5533">
              <w:t>20</w:t>
            </w:r>
            <w:r w:rsidRPr="004A5533">
              <w:rPr>
                <w:vertAlign w:val="superscript"/>
              </w:rPr>
              <w:t>V3</w:t>
            </w:r>
            <w:r>
              <w:t xml:space="preserve">, waarbij in zeven stappen toegewerkt wordt naar een individuele casusconceptualisatie ten aanzien van het geweldsrisico. Het belang van integrerende verslaglegging met concrete - in risicoscenario’s beschreven – wordt geïllustreerd aan de hand van een casus. Ten slotte zal worden toegelicht waarom een zogenaamde ‘klinische risicotaxatie’ naast een taxatie middels </w:t>
            </w:r>
            <w:r>
              <w:lastRenderedPageBreak/>
              <w:t>het gestructureerd klinisch oordeel niet langer noodzakelijk dan wel zinvol wordt geacht</w:t>
            </w:r>
          </w:p>
        </w:tc>
        <w:tc>
          <w:tcPr>
            <w:tcW w:w="2073" w:type="dxa"/>
            <w:shd w:val="clear" w:color="auto" w:fill="auto"/>
          </w:tcPr>
          <w:p w:rsidR="004B17AB" w:rsidRPr="00704F2D" w:rsidRDefault="004B17AB" w:rsidP="00533FB4">
            <w:r>
              <w:lastRenderedPageBreak/>
              <w:t>E. van den Broek</w:t>
            </w:r>
          </w:p>
        </w:tc>
      </w:tr>
      <w:tr w:rsidR="004B17AB" w:rsidRPr="00704F2D" w:rsidTr="00533FB4">
        <w:tc>
          <w:tcPr>
            <w:tcW w:w="3191" w:type="dxa"/>
            <w:shd w:val="clear" w:color="auto" w:fill="auto"/>
          </w:tcPr>
          <w:p w:rsidR="004B17AB" w:rsidRPr="00704F2D" w:rsidRDefault="004B17AB" w:rsidP="00533FB4">
            <w:r>
              <w:lastRenderedPageBreak/>
              <w:t>Vragen en afsluiting</w:t>
            </w:r>
          </w:p>
        </w:tc>
        <w:tc>
          <w:tcPr>
            <w:tcW w:w="1069" w:type="dxa"/>
            <w:shd w:val="clear" w:color="auto" w:fill="auto"/>
          </w:tcPr>
          <w:p w:rsidR="004B17AB" w:rsidRPr="00704F2D" w:rsidRDefault="004B17AB" w:rsidP="00533FB4">
            <w:r>
              <w:t>19.30</w:t>
            </w:r>
          </w:p>
        </w:tc>
        <w:tc>
          <w:tcPr>
            <w:tcW w:w="1950" w:type="dxa"/>
            <w:shd w:val="clear" w:color="auto" w:fill="auto"/>
          </w:tcPr>
          <w:p w:rsidR="004B17AB" w:rsidRPr="00704F2D" w:rsidRDefault="004B17AB" w:rsidP="00533FB4"/>
        </w:tc>
        <w:tc>
          <w:tcPr>
            <w:tcW w:w="2073" w:type="dxa"/>
            <w:shd w:val="clear" w:color="auto" w:fill="auto"/>
          </w:tcPr>
          <w:p w:rsidR="004B17AB" w:rsidRPr="00704F2D" w:rsidRDefault="004B17AB" w:rsidP="00533FB4"/>
        </w:tc>
      </w:tr>
    </w:tbl>
    <w:p w:rsidR="004B17AB" w:rsidRDefault="004B17AB" w:rsidP="004B17AB">
      <w:pPr>
        <w:rPr>
          <w:b/>
        </w:rPr>
      </w:pPr>
    </w:p>
    <w:p w:rsidR="004B17AB" w:rsidRDefault="004B17AB" w:rsidP="004B17AB">
      <w:pPr>
        <w:rPr>
          <w:b/>
        </w:rPr>
      </w:pPr>
      <w:r w:rsidRPr="00A00079">
        <w:rPr>
          <w:b/>
        </w:rPr>
        <w:t xml:space="preserve"> </w:t>
      </w:r>
      <w:r>
        <w:rPr>
          <w:b/>
        </w:rPr>
        <w:t>Aanbevolen l</w:t>
      </w:r>
      <w:r w:rsidRPr="00A00079">
        <w:rPr>
          <w:b/>
        </w:rPr>
        <w:t>iteratuur:</w:t>
      </w:r>
    </w:p>
    <w:p w:rsidR="004B17AB" w:rsidRPr="009333BE" w:rsidRDefault="004B17AB" w:rsidP="004B17AB">
      <w:pPr>
        <w:rPr>
          <w:rFonts w:ascii="Calibri" w:hAnsi="Calibri"/>
          <w:b/>
          <w:sz w:val="20"/>
          <w:szCs w:val="20"/>
        </w:rPr>
      </w:pPr>
    </w:p>
    <w:p w:rsidR="00E87860" w:rsidRDefault="00E87860">
      <w:bookmarkStart w:id="0" w:name="_GoBack"/>
      <w:bookmarkEnd w:id="0"/>
    </w:p>
    <w:sectPr w:rsidR="00E87860">
      <w:headerReference w:type="even" r:id="rId5"/>
      <w:headerReference w:type="default" r:id="rId6"/>
      <w:footerReference w:type="even" r:id="rId7"/>
      <w:footerReference w:type="default" r:id="rId8"/>
      <w:headerReference w:type="first" r:id="rId9"/>
      <w:footerReference w:type="first" r:id="rId10"/>
      <w:pgSz w:w="11907" w:h="16839"/>
      <w:pgMar w:top="3034" w:right="720" w:bottom="960" w:left="3120" w:header="919" w:footer="17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opia">
    <w:altName w:val="Times New Roman"/>
    <w:panose1 w:val="00000000000000000000"/>
    <w:charset w:val="00"/>
    <w:family w:val="roman"/>
    <w:notTrueType/>
    <w:pitch w:val="default"/>
  </w:font>
  <w:font w:name="Beatrix">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mago Book">
    <w:altName w:val="Segoe UI"/>
    <w:charset w:val="00"/>
    <w:family w:val="swiss"/>
    <w:pitch w:val="variable"/>
    <w:sig w:usb0="00000001"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7D" w:rsidRDefault="004B17A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8160"/>
    </w:tblGrid>
    <w:tr w:rsidR="00AD2D83" w:rsidRPr="00AD2D83" w:rsidTr="00532444">
      <w:trPr>
        <w:trHeight w:val="238"/>
      </w:trPr>
      <w:tc>
        <w:tcPr>
          <w:tcW w:w="8160" w:type="dxa"/>
          <w:shd w:val="clear" w:color="auto" w:fill="auto"/>
        </w:tcPr>
        <w:p w:rsidR="00AD2D83" w:rsidRPr="00532444" w:rsidRDefault="004B17AB" w:rsidP="00532444">
          <w:pPr>
            <w:pStyle w:val="Voettekst"/>
            <w:widowControl w:val="0"/>
            <w:jc w:val="right"/>
            <w:rPr>
              <w:sz w:val="18"/>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Pr>
              <w:rStyle w:val="Paginanummer"/>
              <w:noProof/>
            </w:rPr>
            <w:t>3</w:t>
          </w:r>
          <w:r>
            <w:rPr>
              <w:rStyle w:val="Paginanummer"/>
            </w:rPr>
            <w:fldChar w:fldCharType="end"/>
          </w:r>
        </w:p>
      </w:tc>
    </w:tr>
  </w:tbl>
  <w:p w:rsidR="00FB63A6" w:rsidRPr="00AD2D83" w:rsidRDefault="004B17AB" w:rsidP="00AD2D8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A6" w:rsidRDefault="004B17AB">
    <w:pPr>
      <w:framePr w:w="1915" w:h="4884" w:hRule="exact" w:hSpace="142" w:wrap="around" w:vAnchor="page" w:hAnchor="page" w:x="566" w:y="10501"/>
      <w:widowControl w:val="0"/>
      <w:spacing w:line="240" w:lineRule="exact"/>
      <w:jc w:val="right"/>
      <w:rPr>
        <w:rFonts w:ascii="Imago Book" w:hAnsi="Imago Book"/>
        <w:sz w:val="17"/>
      </w:rPr>
    </w:pPr>
    <w:bookmarkStart w:id="5" w:name="Berichtkolom"/>
    <w:r>
      <w:rPr>
        <w:rFonts w:ascii="Imago Book" w:hAnsi="Imago Book"/>
        <w:sz w:val="17"/>
      </w:rPr>
      <w:t xml:space="preserve"> </w:t>
    </w:r>
    <w:bookmarkEnd w:id="5"/>
  </w:p>
  <w:p w:rsidR="00FB63A6" w:rsidRDefault="004B17AB">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7D" w:rsidRDefault="004B17A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A6" w:rsidRDefault="004B17AB">
    <w:pPr>
      <w:framePr w:w="6917" w:h="301" w:hRule="exact" w:hSpace="142" w:wrap="around" w:vAnchor="page" w:hAnchor="text" w:y="375"/>
      <w:widowControl w:val="0"/>
      <w:rPr>
        <w:sz w:val="18"/>
      </w:rPr>
    </w:pPr>
  </w:p>
  <w:p w:rsidR="00FB63A6" w:rsidRDefault="004B17A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CellMar>
        <w:left w:w="70" w:type="dxa"/>
        <w:right w:w="70" w:type="dxa"/>
      </w:tblCellMar>
      <w:tblLook w:val="01E0" w:firstRow="1" w:lastRow="1" w:firstColumn="1" w:lastColumn="1" w:noHBand="0" w:noVBand="0"/>
    </w:tblPr>
    <w:tblGrid>
      <w:gridCol w:w="7581"/>
    </w:tblGrid>
    <w:tr w:rsidR="00FB63A6">
      <w:tblPrEx>
        <w:tblCellMar>
          <w:top w:w="0" w:type="dxa"/>
          <w:bottom w:w="0" w:type="dxa"/>
        </w:tblCellMar>
      </w:tblPrEx>
      <w:trPr>
        <w:trHeight w:hRule="exact" w:val="238"/>
      </w:trPr>
      <w:tc>
        <w:tcPr>
          <w:tcW w:w="7581" w:type="dxa"/>
        </w:tcPr>
        <w:p w:rsidR="00FB63A6" w:rsidRDefault="004B17AB" w:rsidP="00F65A8D">
          <w:pPr>
            <w:framePr w:w="7581" w:h="1520" w:hRule="exact" w:hSpace="142" w:wrap="around" w:vAnchor="page" w:hAnchor="page" w:x="3119" w:y="431"/>
            <w:widowControl w:val="0"/>
            <w:spacing w:line="240" w:lineRule="exact"/>
            <w:rPr>
              <w:sz w:val="18"/>
            </w:rPr>
          </w:pPr>
          <w:bookmarkStart w:id="1" w:name="Titel1"/>
          <w:r>
            <w:rPr>
              <w:sz w:val="18"/>
            </w:rPr>
            <w:t>Ministerie van Justitie</w:t>
          </w:r>
          <w:bookmarkEnd w:id="1"/>
          <w:r>
            <w:rPr>
              <w:sz w:val="18"/>
            </w:rPr>
            <w:t>/Die</w:t>
          </w:r>
          <w:r>
            <w:rPr>
              <w:sz w:val="18"/>
            </w:rPr>
            <w:t>nst Justitiele Inrichtingen</w:t>
          </w:r>
        </w:p>
      </w:tc>
    </w:tr>
    <w:tr w:rsidR="00FB63A6">
      <w:tblPrEx>
        <w:tblCellMar>
          <w:top w:w="0" w:type="dxa"/>
          <w:bottom w:w="0" w:type="dxa"/>
        </w:tblCellMar>
      </w:tblPrEx>
      <w:trPr>
        <w:trHeight w:hRule="exact" w:val="142"/>
      </w:trPr>
      <w:tc>
        <w:tcPr>
          <w:tcW w:w="7581" w:type="dxa"/>
        </w:tcPr>
        <w:p w:rsidR="00FB63A6" w:rsidRDefault="004B17AB" w:rsidP="00F65A8D">
          <w:pPr>
            <w:framePr w:w="7581" w:h="1520" w:hRule="exact" w:hSpace="142" w:wrap="around" w:vAnchor="page" w:hAnchor="page" w:x="3119" w:y="431"/>
            <w:widowControl w:val="0"/>
            <w:spacing w:line="240" w:lineRule="exact"/>
            <w:rPr>
              <w:sz w:val="24"/>
            </w:rPr>
          </w:pPr>
        </w:p>
      </w:tc>
    </w:tr>
    <w:tr w:rsidR="00FB63A6">
      <w:tblPrEx>
        <w:tblCellMar>
          <w:top w:w="0" w:type="dxa"/>
          <w:bottom w:w="0" w:type="dxa"/>
        </w:tblCellMar>
      </w:tblPrEx>
      <w:trPr>
        <w:trHeight w:val="238"/>
      </w:trPr>
      <w:tc>
        <w:tcPr>
          <w:tcW w:w="7581" w:type="dxa"/>
        </w:tcPr>
        <w:p w:rsidR="00FB63A6" w:rsidRDefault="004B17AB" w:rsidP="00F65A8D">
          <w:pPr>
            <w:framePr w:w="7581" w:h="1520" w:hRule="exact" w:hSpace="142" w:wrap="around" w:vAnchor="page" w:hAnchor="page" w:x="3119" w:y="431"/>
            <w:widowControl w:val="0"/>
            <w:spacing w:line="360" w:lineRule="exact"/>
            <w:rPr>
              <w:sz w:val="28"/>
            </w:rPr>
          </w:pPr>
          <w:bookmarkStart w:id="2" w:name="Titel2"/>
          <w:r>
            <w:rPr>
              <w:sz w:val="28"/>
            </w:rPr>
            <w:t>Nederlands Instituut voor Forensische Psychiatrie en Psychologie</w:t>
          </w:r>
          <w:bookmarkEnd w:id="2"/>
        </w:p>
      </w:tc>
    </w:tr>
    <w:tr w:rsidR="00FB63A6">
      <w:tblPrEx>
        <w:tblCellMar>
          <w:top w:w="0" w:type="dxa"/>
          <w:bottom w:w="0" w:type="dxa"/>
        </w:tblCellMar>
      </w:tblPrEx>
      <w:trPr>
        <w:trHeight w:hRule="exact" w:val="79"/>
      </w:trPr>
      <w:tc>
        <w:tcPr>
          <w:tcW w:w="7581" w:type="dxa"/>
        </w:tcPr>
        <w:p w:rsidR="00FB63A6" w:rsidRDefault="004B17AB" w:rsidP="00F65A8D">
          <w:pPr>
            <w:framePr w:w="7581" w:h="1520" w:hRule="exact" w:hSpace="142" w:wrap="around" w:vAnchor="page" w:hAnchor="page" w:x="3119" w:y="431"/>
            <w:widowControl w:val="0"/>
            <w:spacing w:line="240" w:lineRule="exact"/>
          </w:pPr>
        </w:p>
      </w:tc>
    </w:tr>
    <w:tr w:rsidR="00FB63A6">
      <w:tblPrEx>
        <w:tblCellMar>
          <w:top w:w="0" w:type="dxa"/>
          <w:bottom w:w="0" w:type="dxa"/>
        </w:tblCellMar>
      </w:tblPrEx>
      <w:trPr>
        <w:trHeight w:hRule="exact" w:val="238"/>
      </w:trPr>
      <w:tc>
        <w:tcPr>
          <w:tcW w:w="7581" w:type="dxa"/>
        </w:tcPr>
        <w:p w:rsidR="00FB63A6" w:rsidRDefault="004B17AB" w:rsidP="00F65A8D">
          <w:pPr>
            <w:framePr w:w="7581" w:h="1520" w:hRule="exact" w:hSpace="142" w:wrap="around" w:vAnchor="page" w:hAnchor="page" w:x="3119" w:y="431"/>
            <w:widowControl w:val="0"/>
            <w:spacing w:line="240" w:lineRule="exact"/>
            <w:rPr>
              <w:sz w:val="18"/>
            </w:rPr>
          </w:pPr>
          <w:bookmarkStart w:id="3" w:name="Titel3"/>
          <w:r>
            <w:rPr>
              <w:sz w:val="18"/>
            </w:rPr>
            <w:t xml:space="preserve"> </w:t>
          </w:r>
          <w:bookmarkEnd w:id="3"/>
        </w:p>
      </w:tc>
    </w:tr>
    <w:tr w:rsidR="00FB63A6">
      <w:tblPrEx>
        <w:tblCellMar>
          <w:top w:w="0" w:type="dxa"/>
          <w:bottom w:w="0" w:type="dxa"/>
        </w:tblCellMar>
      </w:tblPrEx>
      <w:trPr>
        <w:trHeight w:hRule="exact" w:val="238"/>
      </w:trPr>
      <w:tc>
        <w:tcPr>
          <w:tcW w:w="7581" w:type="dxa"/>
        </w:tcPr>
        <w:p w:rsidR="00FB63A6" w:rsidRDefault="004B17AB" w:rsidP="00F65A8D">
          <w:pPr>
            <w:framePr w:w="7581" w:h="1520" w:hRule="exact" w:hSpace="142" w:wrap="around" w:vAnchor="page" w:hAnchor="page" w:x="3119" w:y="431"/>
            <w:widowControl w:val="0"/>
            <w:spacing w:line="240" w:lineRule="exact"/>
            <w:rPr>
              <w:sz w:val="18"/>
            </w:rPr>
          </w:pPr>
        </w:p>
      </w:tc>
    </w:tr>
  </w:tbl>
  <w:p w:rsidR="00FB63A6" w:rsidRDefault="004B17AB" w:rsidP="00F65A8D">
    <w:pPr>
      <w:framePr w:w="7581" w:h="1520" w:hRule="exact" w:hSpace="142" w:wrap="around" w:vAnchor="page" w:hAnchor="page" w:x="3119" w:y="431"/>
    </w:pPr>
  </w:p>
  <w:p w:rsidR="00FB63A6" w:rsidRPr="00A91EB1" w:rsidRDefault="004B17AB">
    <w:pPr>
      <w:pStyle w:val="Koptekst"/>
      <w:framePr w:w="2306" w:h="2160" w:wrap="around" w:vAnchor="page" w:hAnchor="page" w:x="408" w:y="217"/>
      <w:widowControl w:val="0"/>
      <w:spacing w:line="240" w:lineRule="atLeast"/>
      <w:rPr>
        <w:rFonts w:ascii="Beatrix" w:hAnsi="Beatrix" w:cs="Arial"/>
        <w:noProof/>
        <w:sz w:val="132"/>
      </w:rPr>
    </w:pPr>
    <w:bookmarkStart w:id="4" w:name="Logo"/>
    <w:r>
      <w:rPr>
        <w:rFonts w:ascii="Beatrix" w:hAnsi="Beatrix" w:cs="Arial"/>
        <w:noProof/>
        <w:sz w:val="132"/>
      </w:rPr>
      <w:t></w:t>
    </w:r>
    <w:bookmarkEnd w:id="4"/>
  </w:p>
  <w:p w:rsidR="00FB63A6" w:rsidRDefault="004B17A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AB"/>
    <w:rsid w:val="004B17AB"/>
    <w:rsid w:val="00E87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17AB"/>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B17AB"/>
    <w:pPr>
      <w:tabs>
        <w:tab w:val="center" w:pos="4536"/>
        <w:tab w:val="right" w:pos="9072"/>
      </w:tabs>
    </w:pPr>
  </w:style>
  <w:style w:type="character" w:customStyle="1" w:styleId="KoptekstChar">
    <w:name w:val="Koptekst Char"/>
    <w:basedOn w:val="Standaardalinea-lettertype"/>
    <w:link w:val="Koptekst"/>
    <w:rsid w:val="004B17AB"/>
    <w:rPr>
      <w:rFonts w:ascii="Utopia" w:eastAsia="Times New Roman" w:hAnsi="Utopia" w:cs="Times New Roman"/>
      <w:szCs w:val="24"/>
      <w:lang w:eastAsia="nl-NL"/>
    </w:rPr>
  </w:style>
  <w:style w:type="paragraph" w:styleId="Voettekst">
    <w:name w:val="footer"/>
    <w:basedOn w:val="Standaard"/>
    <w:link w:val="VoettekstChar"/>
    <w:rsid w:val="004B17AB"/>
    <w:pPr>
      <w:tabs>
        <w:tab w:val="center" w:pos="4536"/>
        <w:tab w:val="right" w:pos="9072"/>
      </w:tabs>
    </w:pPr>
  </w:style>
  <w:style w:type="character" w:customStyle="1" w:styleId="VoettekstChar">
    <w:name w:val="Voettekst Char"/>
    <w:basedOn w:val="Standaardalinea-lettertype"/>
    <w:link w:val="Voettekst"/>
    <w:rsid w:val="004B17AB"/>
    <w:rPr>
      <w:rFonts w:ascii="Utopia" w:eastAsia="Times New Roman" w:hAnsi="Utopia" w:cs="Times New Roman"/>
      <w:szCs w:val="24"/>
      <w:lang w:eastAsia="nl-NL"/>
    </w:rPr>
  </w:style>
  <w:style w:type="character" w:styleId="Paginanummer">
    <w:name w:val="page number"/>
    <w:rsid w:val="004B17AB"/>
    <w:rPr>
      <w:rFonts w:ascii="Utopia" w:hAnsi="Utopia"/>
      <w:b w:val="0"/>
      <w:i w:val="0"/>
      <w:caps w:val="0"/>
      <w:smallCaps w:val="0"/>
      <w:strike w:val="0"/>
      <w:dstrike w:val="0"/>
      <w:outline w:val="0"/>
      <w:shadow w:val="0"/>
      <w:emboss w:val="0"/>
      <w:imprint w:val="0"/>
      <w:vanish w:val="0"/>
      <w:color w:val="auto"/>
      <w:w w:val="100"/>
      <w:kern w:val="0"/>
      <w:sz w:val="18"/>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17AB"/>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B17AB"/>
    <w:pPr>
      <w:tabs>
        <w:tab w:val="center" w:pos="4536"/>
        <w:tab w:val="right" w:pos="9072"/>
      </w:tabs>
    </w:pPr>
  </w:style>
  <w:style w:type="character" w:customStyle="1" w:styleId="KoptekstChar">
    <w:name w:val="Koptekst Char"/>
    <w:basedOn w:val="Standaardalinea-lettertype"/>
    <w:link w:val="Koptekst"/>
    <w:rsid w:val="004B17AB"/>
    <w:rPr>
      <w:rFonts w:ascii="Utopia" w:eastAsia="Times New Roman" w:hAnsi="Utopia" w:cs="Times New Roman"/>
      <w:szCs w:val="24"/>
      <w:lang w:eastAsia="nl-NL"/>
    </w:rPr>
  </w:style>
  <w:style w:type="paragraph" w:styleId="Voettekst">
    <w:name w:val="footer"/>
    <w:basedOn w:val="Standaard"/>
    <w:link w:val="VoettekstChar"/>
    <w:rsid w:val="004B17AB"/>
    <w:pPr>
      <w:tabs>
        <w:tab w:val="center" w:pos="4536"/>
        <w:tab w:val="right" w:pos="9072"/>
      </w:tabs>
    </w:pPr>
  </w:style>
  <w:style w:type="character" w:customStyle="1" w:styleId="VoettekstChar">
    <w:name w:val="Voettekst Char"/>
    <w:basedOn w:val="Standaardalinea-lettertype"/>
    <w:link w:val="Voettekst"/>
    <w:rsid w:val="004B17AB"/>
    <w:rPr>
      <w:rFonts w:ascii="Utopia" w:eastAsia="Times New Roman" w:hAnsi="Utopia" w:cs="Times New Roman"/>
      <w:szCs w:val="24"/>
      <w:lang w:eastAsia="nl-NL"/>
    </w:rPr>
  </w:style>
  <w:style w:type="character" w:styleId="Paginanummer">
    <w:name w:val="page number"/>
    <w:rsid w:val="004B17AB"/>
    <w:rPr>
      <w:rFonts w:ascii="Utopia" w:hAnsi="Utopia"/>
      <w:b w:val="0"/>
      <w:i w:val="0"/>
      <w:caps w:val="0"/>
      <w:smallCaps w:val="0"/>
      <w:strike w:val="0"/>
      <w:dstrike w:val="0"/>
      <w:outline w:val="0"/>
      <w:shadow w:val="0"/>
      <w:emboss w:val="0"/>
      <w:imprint w:val="0"/>
      <w:vanish w:val="0"/>
      <w:color w:val="auto"/>
      <w:w w:val="100"/>
      <w:kern w:val="0"/>
      <w:sz w:val="18"/>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A558E7EC</Template>
  <TotalTime>1</TotalTime>
  <Pages>3</Pages>
  <Words>266</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1</cp:revision>
  <dcterms:created xsi:type="dcterms:W3CDTF">2018-06-05T12:34:00Z</dcterms:created>
  <dcterms:modified xsi:type="dcterms:W3CDTF">2018-06-05T12:35:00Z</dcterms:modified>
</cp:coreProperties>
</file>